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2563EB"/>
          <w:sz w:val="22"/>
          <w:szCs w:val="22"/>
        </w:rPr>
        <w:t xml:space="preserve">LUMI SMART WATER BOTTLE</w:t>
      </w:r>
    </w:p>
    <w:p>
      <w:pPr>
        <w:spacing w:after="80"/>
      </w:pPr>
      <w:r>
        <w:rPr>
          <w:rFonts w:ascii="Arial" w:cs="Arial" w:eastAsia="Arial" w:hAnsi="Arial"/>
          <w:b/>
          <w:bCs/>
          <w:color w:val="0A192F"/>
          <w:sz w:val="40"/>
          <w:szCs w:val="40"/>
        </w:rPr>
        <w:t xml:space="preserve">REGIONAL LAUNCH READINESS AND SUPPLY CHAIN MITIGATION BRIEF</w:t>
      </w:r>
    </w:p>
    <w:p>
      <w:pPr>
        <w:spacing w:after="240"/>
      </w:pPr>
      <w:r>
        <w:rPr>
          <w:rFonts w:ascii="Arial" w:cs="Arial" w:eastAsia="Arial" w:hAnsi="Arial"/>
          <w:i/>
          <w:iCs/>
          <w:color w:val="595959"/>
          <w:sz w:val="20"/>
          <w:szCs w:val="20"/>
        </w:rPr>
        <w:t xml:space="preserve">Overview of launch status, logistics challenges and market-specific adjustments for Thailand, Philippines and Japan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c>
          <w:tcPr>
            <w:tcW w:type="dxa" w:w="24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Prepared for</w:t>
            </w:r>
          </w:p>
        </w:tc>
        <w:tc>
          <w:tcPr>
            <w:tcW w:type="dxa" w:w="72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TBD</w:t>
            </w:r>
          </w:p>
        </w:tc>
      </w:tr>
      <w:tr>
        <w:tc>
          <w:tcPr>
            <w:tcW w:type="dxa" w:w="24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Prepared by</w:t>
            </w:r>
          </w:p>
        </w:tc>
        <w:tc>
          <w:tcPr>
            <w:tcW w:type="dxa" w:w="72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TBD</w:t>
            </w:r>
          </w:p>
        </w:tc>
      </w:tr>
      <w:tr>
        <w:tc>
          <w:tcPr>
            <w:tcW w:type="dxa" w:w="24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Date</w:t>
            </w:r>
          </w:p>
        </w:tc>
        <w:tc>
          <w:tcPr>
            <w:tcW w:type="dxa" w:w="72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9 October 2026</w:t>
            </w:r>
          </w:p>
        </w:tc>
      </w:tr>
      <w:tr>
        <w:tc>
          <w:tcPr>
            <w:tcW w:type="dxa" w:w="24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Source basis</w:t>
            </w:r>
          </w:p>
        </w:tc>
        <w:tc>
          <w:tcPr>
            <w:tcW w:type="dxa" w:w="72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Launch Sync Meeting Transcript, 9 October 2026</w:t>
            </w:r>
          </w:p>
        </w:tc>
      </w:tr>
      <w:tr>
        <w:tc>
          <w:tcPr>
            <w:tcW w:type="dxa" w:w="24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Purpose</w:t>
            </w:r>
          </w:p>
        </w:tc>
        <w:tc>
          <w:tcPr>
            <w:tcW w:type="dxa" w:w="72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Status update and contingency planning for regional market entries</w:t>
            </w:r>
          </w:p>
        </w:tc>
      </w:tr>
      <w:tr>
        <w:tc>
          <w:tcPr>
            <w:tcW w:type="dxa" w:w="24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Status</w:t>
            </w:r>
          </w:p>
        </w:tc>
        <w:tc>
          <w:tcPr>
            <w:tcW w:type="dxa" w:w="72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Internal decision brief. Not for external circulation</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WORKING POSITION</w:t>
            </w:r>
          </w:p>
        </w:tc>
      </w:tr>
      <w:tr>
        <w:tc>
          <w:tcPr>
            <w:tcW w:type="dxa" w:w="96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8"/>
                <w:szCs w:val="18"/>
              </w:rPr>
              <w:t xml:space="preserve">The Lumi smart water bottle launch programme is encountering localised supply chain and quality assurance headwinds in three key markets. While Thailand remains on track with influencer adjustments, the Philippines faces significant customs delays requiring an immediate contingency shift to a pre-order model. Concurrently, the Japan market requires a strategic pivot to accommodate mandatory third-party quality testing, necessitating a revision of the regional launch timeline.</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60"/>
            </w:pPr>
            <w:r>
              <w:rPr>
                <w:rFonts w:ascii="Arial" w:cs="Arial" w:eastAsia="Arial" w:hAnsi="Arial"/>
                <w:b/>
                <w:bCs/>
                <w:color w:val="0A192F"/>
                <w:sz w:val="18"/>
                <w:szCs w:val="18"/>
              </w:rPr>
              <w:t xml:space="preserve">1  OPERATIONAL AGILITY IN THE PHILIPPINES</w:t>
            </w:r>
          </w:p>
          <w:p>
            <w:pPr>
              <w:spacing w:after="0"/>
            </w:pPr>
            <w:r>
              <w:rPr>
                <w:rFonts w:ascii="Arial" w:cs="Arial" w:eastAsia="Arial" w:hAnsi="Arial"/>
                <w:sz w:val="17"/>
                <w:szCs w:val="17"/>
              </w:rPr>
              <w:t xml:space="preserve">Customs clearance issues for the initial 3,000 units are being mitigated by transitioning the BGC pop-up launch to a pre-order model using existing demo stock.</w:t>
            </w:r>
          </w:p>
        </w:tc>
        <w:tc>
          <w:tcPr>
            <w:tcW w:type="dxa" w:w="4819"/>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60"/>
            </w:pPr>
            <w:r>
              <w:rPr>
                <w:rFonts w:ascii="Arial" w:cs="Arial" w:eastAsia="Arial" w:hAnsi="Arial"/>
                <w:b/>
                <w:bCs/>
                <w:color w:val="0A192F"/>
                <w:sz w:val="18"/>
                <w:szCs w:val="18"/>
              </w:rPr>
              <w:t xml:space="preserve">2  STRATEGIC ALIGNMENT FOR QUALITY ASSURANCE</w:t>
            </w:r>
          </w:p>
          <w:p>
            <w:pPr>
              <w:spacing w:after="0"/>
            </w:pPr>
            <w:r>
              <w:rPr>
                <w:rFonts w:ascii="Arial" w:cs="Arial" w:eastAsia="Arial" w:hAnsi="Arial"/>
                <w:sz w:val="17"/>
                <w:szCs w:val="17"/>
              </w:rPr>
              <w:t xml:space="preserve">Prioritising long-term retail placement in Japan justifies a three-week launch delay to secure local third-party certification, ensuring compliance with local consumer expectations.</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TBD’S DIRECTION REQUIRED</w:t>
            </w:r>
          </w:p>
        </w:tc>
      </w:tr>
      <w:tr>
        <w:tc>
          <w:tcPr>
            <w:tcW w:type="dxa" w:w="96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8"/>
                <w:szCs w:val="18"/>
              </w:rPr>
              <w:t xml:space="preserve">The leadership must note the revised launch schedule for the Japan market and confirm the budget allocation for the Japanese third-party lab testing. Further, oversight is required on the Philippines customs resolution process to ensure the transition to a pre-order sales model is communicated effectively to customers.</w:t>
            </w:r>
          </w:p>
        </w:tc>
      </w:tr>
    </w:tbl>
    <w:p>
      <w:pPr>
        <w:pBdr>
          <w:bottom w:val="single" w:color="2563EB" w:sz="6" w:space="2"/>
        </w:pBdr>
        <w:spacing w:after="120" w:before="280"/>
      </w:pPr>
      <w:r>
        <w:rPr>
          <w:rFonts w:ascii="Arial" w:cs="Arial" w:eastAsia="Arial" w:hAnsi="Arial"/>
          <w:b/>
          <w:bCs/>
          <w:color w:val="0A192F"/>
          <w:sz w:val="28"/>
          <w:szCs w:val="28"/>
        </w:rPr>
        <w:t xml:space="preserve">1. Market Status Overview</w:t>
      </w:r>
    </w:p>
    <w:p>
      <w:pPr>
        <w:spacing w:after="140"/>
      </w:pPr>
      <w:r>
        <w:rPr>
          <w:rFonts w:ascii="Arial" w:cs="Arial" w:eastAsia="Arial" w:hAnsi="Arial"/>
          <w:sz w:val="19"/>
          <w:szCs w:val="19"/>
        </w:rPr>
        <w:t xml:space="preserve">The launch synchronisation has highlighted distinct regional requirements and challenges. Thailand is optimising its marketing spend, while the Philippines and Japan are managing logistics and regulatory hurdles respectively.</w:t>
      </w:r>
    </w:p>
    <w:p>
      <w:pPr>
        <w:pStyle w:val="ListParagraph"/>
        <w:numPr>
          <w:ilvl w:val="0"/>
          <w:numId w:val="2"/>
        </w:numPr>
        <w:spacing w:after="80"/>
      </w:pPr>
      <w:r>
        <w:rPr>
          <w:rFonts w:ascii="Arial" w:cs="Arial" w:eastAsia="Arial" w:hAnsi="Arial"/>
          <w:b/>
          <w:bCs/>
          <w:sz w:val="19"/>
          <w:szCs w:val="19"/>
        </w:rPr>
        <w:t xml:space="preserve">Thailand influencer campaign. </w:t>
      </w:r>
      <w:r>
        <w:rPr>
          <w:rFonts w:ascii="Arial" w:cs="Arial" w:eastAsia="Arial" w:hAnsi="Arial"/>
          <w:sz w:val="19"/>
          <w:szCs w:val="19"/>
        </w:rPr>
        <w:t xml:space="preserve">Budget of 800,000 THB is being reallocated to replace a high-profile but low-engagement influencer with smaller, more effective creators.</w:t>
      </w:r>
    </w:p>
    <w:p>
      <w:pPr>
        <w:pStyle w:val="ListParagraph"/>
        <w:numPr>
          <w:ilvl w:val="0"/>
          <w:numId w:val="2"/>
        </w:numPr>
        <w:spacing w:after="80"/>
      </w:pPr>
      <w:r>
        <w:rPr>
          <w:rFonts w:ascii="Arial" w:cs="Arial" w:eastAsia="Arial" w:hAnsi="Arial"/>
          <w:b/>
          <w:bCs/>
          <w:sz w:val="19"/>
          <w:szCs w:val="19"/>
        </w:rPr>
        <w:t xml:space="preserve">Philippines logistics. </w:t>
      </w:r>
      <w:r>
        <w:rPr>
          <w:rFonts w:ascii="Arial" w:cs="Arial" w:eastAsia="Arial" w:hAnsi="Arial"/>
          <w:sz w:val="19"/>
          <w:szCs w:val="19"/>
        </w:rPr>
        <w:t xml:space="preserve">3,000 units are currently held at Manila Port due to missing battery certification documentation.</w:t>
      </w:r>
    </w:p>
    <w:p>
      <w:pPr>
        <w:pStyle w:val="ListParagraph"/>
        <w:numPr>
          <w:ilvl w:val="0"/>
          <w:numId w:val="2"/>
        </w:numPr>
        <w:spacing w:after="80"/>
      </w:pPr>
      <w:r>
        <w:rPr>
          <w:rFonts w:ascii="Arial" w:cs="Arial" w:eastAsia="Arial" w:hAnsi="Arial"/>
          <w:b/>
          <w:bCs/>
          <w:sz w:val="19"/>
          <w:szCs w:val="19"/>
        </w:rPr>
        <w:t xml:space="preserve">Japan retail partnership. </w:t>
      </w:r>
      <w:r>
        <w:rPr>
          <w:rFonts w:ascii="Arial" w:cs="Arial" w:eastAsia="Arial" w:hAnsi="Arial"/>
          <w:sz w:val="19"/>
          <w:szCs w:val="19"/>
        </w:rPr>
        <w:t xml:space="preserve">Loft, the primary distribution channel, mandates local third-party lab testing, delaying the market entry to 22nd November.</w:t>
      </w:r>
    </w:p>
    <w:p>
      <w:pPr>
        <w:pBdr>
          <w:bottom w:val="single" w:color="2563EB" w:sz="6" w:space="2"/>
        </w:pBdr>
        <w:spacing w:after="120" w:before="280"/>
      </w:pPr>
      <w:r>
        <w:rPr>
          <w:rFonts w:ascii="Arial" w:cs="Arial" w:eastAsia="Arial" w:hAnsi="Arial"/>
          <w:b/>
          <w:bCs/>
          <w:color w:val="0A192F"/>
          <w:sz w:val="28"/>
          <w:szCs w:val="28"/>
        </w:rPr>
        <w:t xml:space="preserve">2. Risk Mitigation Strategy</w:t>
      </w:r>
    </w:p>
    <w:p>
      <w:pPr>
        <w:spacing w:after="140"/>
      </w:pPr>
      <w:r>
        <w:rPr>
          <w:rFonts w:ascii="Arial" w:cs="Arial" w:eastAsia="Arial" w:hAnsi="Arial"/>
          <w:sz w:val="19"/>
          <w:szCs w:val="19"/>
        </w:rPr>
        <w:t xml:space="preserve">Contingency plans have been established to protect brand reputation and maintain momentum despite supply delays.</w:t>
      </w:r>
    </w:p>
    <w:p>
      <w:pPr>
        <w:pStyle w:val="ListParagraph"/>
        <w:numPr>
          <w:ilvl w:val="0"/>
          <w:numId w:val="2"/>
        </w:numPr>
        <w:spacing w:after="80"/>
      </w:pPr>
      <w:r>
        <w:rPr>
          <w:rFonts w:ascii="Arial" w:cs="Arial" w:eastAsia="Arial" w:hAnsi="Arial"/>
          <w:b/>
          <w:bCs/>
          <w:sz w:val="19"/>
          <w:szCs w:val="19"/>
        </w:rPr>
        <w:t xml:space="preserve">Philippines contingency. </w:t>
      </w:r>
      <w:r>
        <w:rPr>
          <w:rFonts w:ascii="Arial" w:cs="Arial" w:eastAsia="Arial" w:hAnsi="Arial"/>
          <w:sz w:val="19"/>
          <w:szCs w:val="19"/>
        </w:rPr>
        <w:t xml:space="preserve">If stock is not cleared by 12th October, the BGC pop-up store will operate solely with 200 existing demo units and a pre-order system.</w:t>
      </w:r>
    </w:p>
    <w:p>
      <w:pPr>
        <w:pStyle w:val="ListParagraph"/>
        <w:numPr>
          <w:ilvl w:val="0"/>
          <w:numId w:val="2"/>
        </w:numPr>
        <w:spacing w:after="80"/>
      </w:pPr>
      <w:r>
        <w:rPr>
          <w:rFonts w:ascii="Arial" w:cs="Arial" w:eastAsia="Arial" w:hAnsi="Arial"/>
          <w:b/>
          <w:bCs/>
          <w:sz w:val="19"/>
          <w:szCs w:val="19"/>
        </w:rPr>
        <w:t xml:space="preserve">Regulatory compliance. </w:t>
      </w:r>
      <w:r>
        <w:rPr>
          <w:rFonts w:ascii="Arial" w:cs="Arial" w:eastAsia="Arial" w:hAnsi="Arial"/>
          <w:sz w:val="19"/>
          <w:szCs w:val="19"/>
        </w:rPr>
        <w:t xml:space="preserve">Kenji is facilitating the transfer of an external customs broker contact to the Philippines team to resolve battery certificate documentation issues.</w:t>
      </w:r>
    </w:p>
    <w:p>
      <w:pPr>
        <w:pBdr>
          <w:bottom w:val="single" w:color="2563EB" w:sz="6" w:space="2"/>
        </w:pBdr>
        <w:spacing w:after="120" w:before="280"/>
      </w:pPr>
      <w:r>
        <w:rPr>
          <w:rFonts w:ascii="Arial" w:cs="Arial" w:eastAsia="Arial" w:hAnsi="Arial"/>
          <w:b/>
          <w:bCs/>
          <w:color w:val="0A192F"/>
          <w:sz w:val="28"/>
          <w:szCs w:val="28"/>
        </w:rPr>
        <w:t xml:space="preserve">3. Financial and Resource Implications</w:t>
      </w:r>
    </w:p>
    <w:p>
      <w:pPr>
        <w:spacing w:after="140"/>
      </w:pPr>
      <w:r>
        <w:rPr>
          <w:rFonts w:ascii="Arial" w:cs="Arial" w:eastAsia="Arial" w:hAnsi="Arial"/>
          <w:sz w:val="19"/>
          <w:szCs w:val="19"/>
        </w:rPr>
        <w:t xml:space="preserve">Adjustments to project costs and distribution timelines are currently being processed.</w:t>
      </w:r>
    </w:p>
    <w:p>
      <w:pPr>
        <w:spacing w:after="60"/>
      </w:pPr>
    </w:p>
    <w:tbl>
      <w:tblPr>
        <w:tblW w:type="dxa" w:w="9636"/>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rPr>
          <w:tblHeader/>
        </w:trPr>
        <w:tc>
          <w:tcPr>
            <w:tcW w:type="dxa" w:w="3212"/>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Market</w:t>
            </w:r>
          </w:p>
        </w:tc>
        <w:tc>
          <w:tcPr>
            <w:tcW w:type="dxa" w:w="3212"/>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Impact</w:t>
            </w:r>
          </w:p>
        </w:tc>
        <w:tc>
          <w:tcPr>
            <w:tcW w:type="dxa" w:w="3212"/>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Financial/Resource Requirement</w:t>
            </w:r>
          </w:p>
        </w:tc>
      </w:tr>
      <w:tr>
        <w:trPr>
          <w:cantSplit/>
        </w:trPr>
        <w:tc>
          <w:tcPr>
            <w:tcW w:type="dxa" w:w="3212"/>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b/>
                <w:bCs/>
                <w:sz w:val="17"/>
                <w:szCs w:val="17"/>
              </w:rPr>
              <w:t xml:space="preserve">Japan</w:t>
            </w:r>
          </w:p>
        </w:tc>
        <w:tc>
          <w:tcPr>
            <w:tcW w:type="dxa" w:w="3212"/>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Launch delay</w:t>
            </w:r>
          </w:p>
        </w:tc>
        <w:tc>
          <w:tcPr>
            <w:tcW w:type="dxa" w:w="3212"/>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400,000 JPY (Testing)</w:t>
            </w:r>
          </w:p>
        </w:tc>
      </w:tr>
      <w:tr>
        <w:trPr>
          <w:cantSplit/>
        </w:trPr>
        <w:tc>
          <w:tcPr>
            <w:tcW w:type="dxa" w:w="3212"/>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b/>
                <w:bCs/>
                <w:sz w:val="17"/>
                <w:szCs w:val="17"/>
              </w:rPr>
              <w:t xml:space="preserve">Philippines</w:t>
            </w:r>
          </w:p>
        </w:tc>
        <w:tc>
          <w:tcPr>
            <w:tcW w:type="dxa" w:w="3212"/>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Pricing audit</w:t>
            </w:r>
          </w:p>
        </w:tc>
        <w:tc>
          <w:tcPr>
            <w:tcW w:type="dxa" w:w="3212"/>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Pending Finance confirmation</w:t>
            </w:r>
          </w:p>
        </w:tc>
      </w:tr>
    </w:tbl>
    <w:p>
      <w:pPr>
        <w:spacing w:after="120"/>
      </w:pPr>
    </w:p>
    <w:p>
      <w:pPr>
        <w:pBdr>
          <w:bottom w:val="single" w:color="2563EB" w:sz="6" w:space="2"/>
        </w:pBdr>
        <w:spacing w:after="120" w:before="280"/>
      </w:pPr>
      <w:r>
        <w:rPr>
          <w:rFonts w:ascii="Arial" w:cs="Arial" w:eastAsia="Arial" w:hAnsi="Arial"/>
          <w:b/>
          <w:bCs/>
          <w:color w:val="0A192F"/>
          <w:sz w:val="28"/>
          <w:szCs w:val="28"/>
        </w:rPr>
        <w:t xml:space="preserve">4. Decisions Required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6038"/>
        <w:gridCol w:w="2900"/>
      </w:tblGrid>
      <w:tr>
        <w:trPr>
          <w:tblHeader/>
        </w:trPr>
        <w:tc>
          <w:tcPr>
            <w:tcW w:type="dxa" w:w="7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No.</w:t>
            </w:r>
          </w:p>
        </w:tc>
        <w:tc>
          <w:tcPr>
            <w:tcW w:type="dxa" w:w="6038"/>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Decision / instruction</w:t>
            </w:r>
          </w:p>
        </w:tc>
        <w:tc>
          <w:tcPr>
            <w:tcW w:type="dxa" w:w="29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TBD’s direction</w:t>
            </w:r>
          </w:p>
        </w:tc>
      </w:tr>
      <w:tr>
        <w:trPr>
          <w:cantSplit/>
        </w:trPr>
        <w:tc>
          <w:tcPr>
            <w:tcW w:type="dxa" w:w="7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b/>
                <w:bCs/>
                <w:sz w:val="17"/>
                <w:szCs w:val="17"/>
              </w:rPr>
              <w:t xml:space="preserve">1</w:t>
            </w:r>
          </w:p>
        </w:tc>
        <w:tc>
          <w:tcPr>
            <w:tcW w:type="dxa" w:w="60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BGC pop-up to utilise pre-order system if stock is not cleared by 12 October (Owner: Paulo; By: 12 October 2026)</w:t>
            </w:r>
          </w:p>
        </w:tc>
        <w:tc>
          <w:tcPr>
            <w:tcW w:type="dxa" w:w="29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 Approve   ☐ Amend   ☐ Hold</w:t>
            </w:r>
          </w:p>
        </w:tc>
      </w:tr>
      <w:tr>
        <w:trPr>
          <w:cantSplit/>
        </w:trPr>
        <w:tc>
          <w:tcPr>
            <w:tcW w:type="dxa" w:w="7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b/>
                <w:bCs/>
                <w:sz w:val="17"/>
                <w:szCs w:val="17"/>
              </w:rPr>
              <w:t xml:space="preserve">2</w:t>
            </w:r>
          </w:p>
        </w:tc>
        <w:tc>
          <w:tcPr>
            <w:tcW w:type="dxa" w:w="60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Approve third-party lab testing for Japan market and reschedule launch to 22 November (Owner: Kenji; By: 10 October 2026)</w:t>
            </w:r>
          </w:p>
        </w:tc>
        <w:tc>
          <w:tcPr>
            <w:tcW w:type="dxa" w:w="29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 Approve   ☐ Amend   ☐ Hold</w:t>
            </w:r>
          </w:p>
        </w:tc>
      </w:tr>
    </w:tbl>
    <w:p>
      <w:pPr>
        <w:spacing w:after="160"/>
      </w:pPr>
    </w:p>
    <w:p>
      <w:pPr>
        <w:pBdr>
          <w:bottom w:val="single" w:color="2563EB" w:sz="6" w:space="2"/>
        </w:pBdr>
        <w:spacing w:after="120" w:before="280"/>
      </w:pPr>
      <w:r>
        <w:rPr>
          <w:rFonts w:ascii="Arial" w:cs="Arial" w:eastAsia="Arial" w:hAnsi="Arial"/>
          <w:b/>
          <w:bCs/>
          <w:color w:val="0A192F"/>
          <w:sz w:val="28"/>
          <w:szCs w:val="28"/>
        </w:rPr>
        <w:t xml:space="preserve">5. Next Steps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5538"/>
        <w:gridCol w:w="2000"/>
        <w:gridCol w:w="1400"/>
      </w:tblGrid>
      <w:tr>
        <w:trPr>
          <w:tblHeader/>
        </w:trPr>
        <w:tc>
          <w:tcPr>
            <w:tcW w:type="dxa" w:w="7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No.</w:t>
            </w:r>
          </w:p>
        </w:tc>
        <w:tc>
          <w:tcPr>
            <w:tcW w:type="dxa" w:w="5538"/>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Action</w:t>
            </w:r>
          </w:p>
        </w:tc>
        <w:tc>
          <w:tcPr>
            <w:tcW w:type="dxa" w:w="20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Owner</w:t>
            </w:r>
          </w:p>
        </w:tc>
        <w:tc>
          <w:tcPr>
            <w:tcW w:type="dxa" w:w="14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Timing</w:t>
            </w:r>
          </w:p>
        </w:tc>
      </w:tr>
      <w:tr>
        <w:trPr>
          <w:cantSplit/>
        </w:trPr>
        <w:tc>
          <w:tcPr>
            <w:tcW w:type="dxa" w:w="7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b/>
                <w:bCs/>
                <w:sz w:val="17"/>
                <w:szCs w:val="17"/>
              </w:rPr>
              <w:t xml:space="preserve">1</w:t>
            </w:r>
          </w:p>
        </w:tc>
        <w:tc>
          <w:tcPr>
            <w:tcW w:type="dxa" w:w="55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Replace Thai influencer with two smaller creators</w:t>
            </w:r>
          </w:p>
        </w:tc>
        <w:tc>
          <w:tcPr>
            <w:tcW w:type="dxa" w:w="20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Nok</w:t>
            </w:r>
          </w:p>
        </w:tc>
        <w:tc>
          <w:tcPr>
            <w:tcW w:type="dxa" w:w="14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10 October 2026</w:t>
            </w:r>
          </w:p>
        </w:tc>
      </w:tr>
      <w:tr>
        <w:trPr>
          <w:cantSplit/>
        </w:trPr>
        <w:tc>
          <w:tcPr>
            <w:tcW w:type="dxa" w:w="7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b/>
                <w:bCs/>
                <w:sz w:val="17"/>
                <w:szCs w:val="17"/>
              </w:rPr>
              <w:t xml:space="preserve">2</w:t>
            </w:r>
          </w:p>
        </w:tc>
        <w:tc>
          <w:tcPr>
            <w:tcW w:type="dxa" w:w="55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Forward Japan customs broker contact details to Manila team</w:t>
            </w:r>
          </w:p>
        </w:tc>
        <w:tc>
          <w:tcPr>
            <w:tcW w:type="dxa" w:w="20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Kenji</w:t>
            </w:r>
          </w:p>
        </w:tc>
        <w:tc>
          <w:tcPr>
            <w:tcW w:type="dxa" w:w="14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9 October 2026</w:t>
            </w:r>
          </w:p>
        </w:tc>
      </w:tr>
      <w:tr>
        <w:trPr>
          <w:cantSplit/>
        </w:trPr>
        <w:tc>
          <w:tcPr>
            <w:tcW w:type="dxa" w:w="7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b/>
                <w:bCs/>
                <w:sz w:val="17"/>
                <w:szCs w:val="17"/>
              </w:rPr>
              <w:t xml:space="preserve">3</w:t>
            </w:r>
          </w:p>
        </w:tc>
        <w:tc>
          <w:tcPr>
            <w:tcW w:type="dxa" w:w="55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Confirm status of global launch video subtitles with agency</w:t>
            </w:r>
          </w:p>
        </w:tc>
        <w:tc>
          <w:tcPr>
            <w:tcW w:type="dxa" w:w="20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Grace</w:t>
            </w:r>
          </w:p>
        </w:tc>
        <w:tc>
          <w:tcPr>
            <w:tcW w:type="dxa" w:w="14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TBD</w:t>
            </w:r>
          </w:p>
        </w:tc>
      </w:tr>
      <w:tr>
        <w:trPr>
          <w:cantSplit/>
        </w:trPr>
        <w:tc>
          <w:tcPr>
            <w:tcW w:type="dxa" w:w="7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b/>
                <w:bCs/>
                <w:sz w:val="17"/>
                <w:szCs w:val="17"/>
              </w:rPr>
              <w:t xml:space="preserve">4</w:t>
            </w:r>
          </w:p>
        </w:tc>
        <w:tc>
          <w:tcPr>
            <w:tcW w:type="dxa" w:w="55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Book Japan third-party lab test</w:t>
            </w:r>
          </w:p>
        </w:tc>
        <w:tc>
          <w:tcPr>
            <w:tcW w:type="dxa" w:w="20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Kenji</w:t>
            </w:r>
          </w:p>
        </w:tc>
        <w:tc>
          <w:tcPr>
            <w:tcW w:type="dxa" w:w="14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10 October 2026</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EXECUTIVE RECOMMENDATION</w:t>
            </w:r>
          </w:p>
        </w:tc>
      </w:tr>
      <w:tr>
        <w:tc>
          <w:tcPr>
            <w:tcW w:type="dxa" w:w="96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8"/>
                <w:szCs w:val="18"/>
              </w:rPr>
              <w:t xml:space="preserve">Executive recommendation: Approve the Japan testing expenditure immediately to prevent further distribution slippage and support the Philippines team in transitioning to the pre-order model to ensure the BGC pop-up remains viable despite current customs delays.</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Arial" w:cs="Arial" w:eastAsia="Arial" w:hAnsi="Arial"/>
        <w:color w:val="595959"/>
        <w:sz w:val="15"/>
        <w:szCs w:val="15"/>
      </w:rPr>
      <w:t xml:space="preserve">Prepared by TBD for TBD | Internal review only</w:t>
    </w:r>
    <w:r>
      <w:rPr>
        <w:rFonts w:ascii="Arial" w:cs="Arial" w:eastAsia="Arial" w:hAnsi="Arial"/>
        <w:color w:val="595959"/>
        <w:sz w:val="15"/>
        <w:szCs w:val="15"/>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2026-10-09T22:12:18.345Z</dcterms:created>
  <dcterms:modified xsi:type="dcterms:W3CDTF">2026-10-09T22:12:18.345Z</dcterms:modified>
</cp:coreProperties>
</file>

<file path=docProps/custom.xml><?xml version="1.0" encoding="utf-8"?>
<Properties xmlns="http://schemas.openxmlformats.org/officeDocument/2006/custom-properties" xmlns:vt="http://schemas.openxmlformats.org/officeDocument/2006/docPropsVTypes"/>
</file>